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EF" w:rsidRPr="00160BEF" w:rsidRDefault="00160BEF" w:rsidP="00160BEF">
      <w:pPr>
        <w:keepNext/>
        <w:widowControl w:val="0"/>
        <w:suppressAutoHyphens/>
        <w:spacing w:after="0" w:line="240" w:lineRule="auto"/>
        <w:ind w:left="1134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60BE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Муниципальное казенное общеобразовательное учреждение</w:t>
      </w:r>
    </w:p>
    <w:p w:rsidR="00160BEF" w:rsidRPr="00160BEF" w:rsidRDefault="00160BEF" w:rsidP="00160BE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«Войскоровская основная общеобразовательная школа»</w:t>
      </w: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FF6F72" w:rsidRDefault="00160BEF" w:rsidP="004B7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FF6F72" w:rsidRDefault="00160BEF" w:rsidP="00FF6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FF6F72" w:rsidRPr="00FF6F72" w:rsidTr="00FF6F72">
        <w:tc>
          <w:tcPr>
            <w:tcW w:w="4077" w:type="dxa"/>
          </w:tcPr>
          <w:p w:rsidR="00FF6F72" w:rsidRPr="00FF6F72" w:rsidRDefault="00FF6F72" w:rsidP="004B7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F6F72" w:rsidRPr="00FF6F72" w:rsidRDefault="00FF6F72" w:rsidP="00FF6F72">
            <w:pPr>
              <w:pStyle w:val="a8"/>
              <w:ind w:left="-108"/>
              <w:jc w:val="right"/>
              <w:rPr>
                <w:sz w:val="28"/>
                <w:szCs w:val="28"/>
                <w:lang w:eastAsia="ru-RU"/>
              </w:rPr>
            </w:pPr>
            <w:r w:rsidRPr="00FF6F72">
              <w:rPr>
                <w:sz w:val="28"/>
                <w:szCs w:val="28"/>
                <w:lang w:eastAsia="ru-RU"/>
              </w:rPr>
              <w:t xml:space="preserve">Приложение к основной общеобразовательной программе основного общего образования, утвержденной приказом </w:t>
            </w:r>
          </w:p>
          <w:p w:rsidR="00FF6F72" w:rsidRPr="00FF6F72" w:rsidRDefault="004F4C8F" w:rsidP="00FF6F72">
            <w:pPr>
              <w:pStyle w:val="a8"/>
              <w:ind w:left="-108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30.08.2019  №108</w:t>
            </w:r>
          </w:p>
        </w:tc>
      </w:tr>
    </w:tbl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общеинтеллектуальной направленности </w:t>
      </w:r>
    </w:p>
    <w:p w:rsidR="00160BEF" w:rsidRPr="00160BEF" w:rsidRDefault="00160BEF" w:rsidP="00160B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финансовой грамотности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 </w:t>
      </w: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Колесова Мария Александровна</w:t>
      </w: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EF" w:rsidRPr="00160BEF" w:rsidRDefault="00160BEF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81" w:rsidRDefault="004B7B81" w:rsidP="001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8F" w:rsidRDefault="004F4C8F" w:rsidP="00366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Default="00366CA8" w:rsidP="0036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F4C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курса внеурочной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4C8F" w:rsidRDefault="004F4C8F" w:rsidP="0036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Личностные результаты освоения курса: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осознание ответственности за настоящее и будущее собственное финансовое благополучие, благополучие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семьи и государства.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готовность пользоваться своими правами в финансовой сфере и исполнять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взаимодействием с финансовыми институтами обязанности.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 освоения курса: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сформированность умения самостоятельно определять цели своего обучения, ставить и формулировать для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новые задачи в учебе и познавательной деятельности, развивать мотивы и интересы своей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сформированность умения самостоятельно планировать пути достижения личных финансовых целей,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наиболее эффективные способы решения финансовых задач;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—сформированность умения анализировать проблему и определять финансовые и государственные учреждения,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которые необходимо обратиться для их решения;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владение умением поиска различных способов решения финансовых проблем и их оценки;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владение умением осуществлять краткосрочное и долгосрочное планирование поведения в сфере финансов;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сформированность умения устанавливать причинно-следственные связи между социальными и 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явлениями и процессами;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умение осуществлять элементарный прогноз в сфере личных финансов и оценивать свои поступки;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i/>
          <w:iCs/>
          <w:sz w:val="28"/>
          <w:szCs w:val="28"/>
        </w:rPr>
        <w:t>результаты: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 xml:space="preserve">—осуществлять деловую коммуникацию как со сверстниками, так и </w:t>
      </w:r>
      <w:proofErr w:type="gramStart"/>
      <w:r w:rsidRPr="000F5F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5FAB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организации, так и за ее пределами);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подбирать партнеров для деловой коммуникации исходя из соображений результативности взаимодействия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личных симпатий;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формирование и развитие компетентности в области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технологий (</w:t>
      </w:r>
      <w:proofErr w:type="gramStart"/>
      <w:r w:rsidRPr="000F5FAB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0F5FAB">
        <w:rPr>
          <w:rFonts w:ascii="Times New Roman" w:hAnsi="Times New Roman" w:cs="Times New Roman"/>
          <w:sz w:val="28"/>
          <w:szCs w:val="28"/>
        </w:rPr>
        <w:t>), навыков работы со статистической, фактической и аналитической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FAB">
        <w:rPr>
          <w:rFonts w:ascii="Times New Roman" w:hAnsi="Times New Roman" w:cs="Times New Roman"/>
          <w:i/>
          <w:iCs/>
          <w:sz w:val="28"/>
          <w:szCs w:val="28"/>
        </w:rPr>
        <w:t>Предметным результатам освоения курса: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AB">
        <w:rPr>
          <w:rFonts w:ascii="Times New Roman" w:hAnsi="Times New Roman" w:cs="Times New Roman"/>
          <w:sz w:val="28"/>
          <w:szCs w:val="28"/>
        </w:rPr>
        <w:t>— владение понятиями: человеческий капитал, деньги и денежная масса, покупательная способность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благосостояние семьи, профицит и дефицит семейного бюджета, банк, депозит, банковская карта, финансовое</w:t>
      </w:r>
      <w:proofErr w:type="gramEnd"/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планирование, валюта и валютный рынок, прямые и косвенные налоги, пенсионный фонд и пенсионная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система;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защита прав потребителя.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— владение знанием: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зависимости уровня благосостояния от структуры источников доходов семьи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статей семейного и личного бюджета и способов их корреляции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lastRenderedPageBreak/>
        <w:t>•основных видов финансовых услуг и продуктов, предназначенных для физических лиц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возможных норм сбережения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•способов государственной поддержки в случаях попадания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сложные жизненные ситуации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видов страхования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видов финансовых рисков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способов использования банковских продуктов для решения своих финансовых задач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способов определения курса валют и мест обмена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b/>
          <w:bCs/>
          <w:sz w:val="28"/>
          <w:szCs w:val="28"/>
        </w:rPr>
        <w:t>Учащийся научится</w:t>
      </w:r>
      <w:r w:rsidRPr="000F5FAB">
        <w:rPr>
          <w:rFonts w:ascii="Times New Roman" w:hAnsi="Times New Roman" w:cs="Times New Roman"/>
          <w:sz w:val="28"/>
          <w:szCs w:val="28"/>
        </w:rPr>
        <w:t>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различать экономические явления и процессы общественной жизни;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выполнять несложные практические задания по анализу состояния личных финансов;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понимать влияние инфляции на повседневную жизнь;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объяснять проблему ограниченности финансовых ресурсов;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знать и конкретизировать примерами виды налогов;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характеризовать экономику семьи; анализировать структуру семейного бюджета;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формулировать финансовые цели, предварительно оценивать их достижимость;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грамотно обращаться с деньгами в повседневной жизни;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различать виды ценных бумаг;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находить, извлекать и осмысливать информацию правового характера относительно личной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безопасности, полученную из доступных источников, систематизировать, анализировать полученные данные;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определять практическое назначение основных элементов банковской системы;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различать виды кредитов и сферу их использования;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разумному и безопасному финансовому поведению;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применять правовые нормы по защите прав потребителей финансовых услуг;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выявлять признаки мошенничества на финансовом рынке в отношении физических лиц.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FAB">
        <w:rPr>
          <w:rFonts w:ascii="Times New Roman" w:hAnsi="Times New Roman" w:cs="Times New Roman"/>
          <w:b/>
          <w:bCs/>
          <w:sz w:val="28"/>
          <w:szCs w:val="28"/>
        </w:rPr>
        <w:t>Учащийся получит возможность научиться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применять теоретические знания по финансовой грамотности для 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жизни;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сопоставлять свои потребности и возможности, оптимально распределять свои материальные и трудовые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составлять семейный бюджет и личный финансовый план;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lastRenderedPageBreak/>
        <w:t> применять полученные теоретические и практические знания для определения экономически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поведения;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оценивать и принимать ответственность за рациональные решения и их возможные последствия для себя,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окружения и общества в целом;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AB">
        <w:rPr>
          <w:rFonts w:ascii="Times New Roman" w:hAnsi="Times New Roman" w:cs="Times New Roman"/>
          <w:sz w:val="28"/>
          <w:szCs w:val="28"/>
        </w:rPr>
        <w:t> разрабатывать и реализовывать проекты междисциплинарной направленности на основе полученных знаний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AB">
        <w:rPr>
          <w:rFonts w:ascii="Times New Roman" w:hAnsi="Times New Roman" w:cs="Times New Roman"/>
          <w:sz w:val="28"/>
          <w:szCs w:val="28"/>
        </w:rPr>
        <w:t>финансовой грамотности и ценностных ориентиров.</w:t>
      </w:r>
    </w:p>
    <w:p w:rsidR="004F4C8F" w:rsidRDefault="004F4C8F" w:rsidP="0036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8F" w:rsidRDefault="007C50FE" w:rsidP="004F4C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4C8F" w:rsidRPr="0036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внеурочной деятельности </w:t>
      </w:r>
    </w:p>
    <w:p w:rsidR="004F4C8F" w:rsidRPr="004F4C8F" w:rsidRDefault="004F4C8F" w:rsidP="004F4C8F">
      <w:pPr>
        <w:jc w:val="both"/>
        <w:rPr>
          <w:sz w:val="24"/>
          <w:szCs w:val="24"/>
        </w:rPr>
      </w:pPr>
      <w:r w:rsidRPr="00F250BC">
        <w:rPr>
          <w:rFonts w:ascii="Times New Roman" w:hAnsi="Times New Roman" w:cs="Times New Roman"/>
          <w:color w:val="000000"/>
          <w:sz w:val="28"/>
          <w:szCs w:val="28"/>
        </w:rPr>
        <w:t>На преподавание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ф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>» в 8 классе отведен 1 час в неделю, всего 34 часа в год, из которых практических занятий (создание проекта) - 5, итоговых занятий (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умений) – 5.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8 класс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Введение в курс (1 час)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Содержание и назначение предмета.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Раздел I. Управление денежными средствами семьи (14 часов)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</w:t>
      </w:r>
      <w:proofErr w:type="gramStart"/>
      <w:r w:rsidRPr="000F5FAB">
        <w:rPr>
          <w:rFonts w:ascii="Times New Roman" w:hAnsi="Times New Roman" w:cs="Times New Roman"/>
          <w:b/>
          <w:bCs/>
          <w:sz w:val="28"/>
          <w:szCs w:val="20"/>
        </w:rPr>
        <w:t>1</w:t>
      </w:r>
      <w:proofErr w:type="gramEnd"/>
      <w:r w:rsidRPr="000F5FAB">
        <w:rPr>
          <w:rFonts w:ascii="Times New Roman" w:hAnsi="Times New Roman" w:cs="Times New Roman"/>
          <w:b/>
          <w:bCs/>
          <w:sz w:val="28"/>
          <w:szCs w:val="20"/>
        </w:rPr>
        <w:t>. Личное финансовое планирование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Понятие «человеческий капитал», как применить человеческий капитал, принятие решений, какие бывают решения,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как определить цель, как подобрать альтернативы, как принимать решения, связанные с деньгами.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2. Происхождение денег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Понятие «деньги». Функции денег. Происхождение денег. Современные деньги. Определение подлинности банкнот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Банка России.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3. Домашняя бухгалтерия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 xml:space="preserve">Понятия «активы» и «пассивы». Как лучше использовать свои активы и пассивы. Как вести учет активов 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ипассивов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>?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Понятия «доходы», «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расходы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»и</w:t>
      </w:r>
      <w:proofErr w:type="spellEnd"/>
      <w:proofErr w:type="gramEnd"/>
      <w:r w:rsidRPr="000F5FAB">
        <w:rPr>
          <w:rFonts w:ascii="Times New Roman" w:hAnsi="Times New Roman" w:cs="Times New Roman"/>
          <w:sz w:val="28"/>
          <w:szCs w:val="20"/>
        </w:rPr>
        <w:t xml:space="preserve"> «семейный бюджет», «дефицит», «профицит», «баланс». Источники доходов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семьи (заработная плата, социальные пособия и т.п.). Основные статьи затрат семьи. Структура семейного бюджета.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Принципы составления семейного бюджета. Потребности и возможности, их соотношение и учёт при планировании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бюджета. Прогнозирование расходов семейного бюджета. Контроль расходов семейного бюджета, и его методы.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Способы оптимизации расходов.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4. Составление личного финансового плана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Понятия «финансы», «финансовые цели», «финансовое планирование». Что такое личный финансовый план. Как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определить свои финансовые цели? Стратегия и способы достижения финансовых целей. Альтернативные способы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достижения финансовой цели. Что делать после составления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личного финансового плана.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5. Рациональное поведение потребителя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Кто такой потребитель? Как сделать правильный выбор и не приобрести ненужный товар? Понятие «рациональное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 xml:space="preserve">поведение потребителя». Этапы </w:t>
      </w:r>
      <w:r w:rsidRPr="000F5FAB">
        <w:rPr>
          <w:rFonts w:ascii="Times New Roman" w:hAnsi="Times New Roman" w:cs="Times New Roman"/>
          <w:sz w:val="28"/>
          <w:szCs w:val="20"/>
        </w:rPr>
        <w:lastRenderedPageBreak/>
        <w:t>рационального поведения. Закон «О защите прав потребителя». Алгоритм составления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обращение по нарушению прав потребителя.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Раздел II. Семья и финансовые организации: как сотрудничать без проблем (17 часов)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4. Депозит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Накопление. Зачем копить деньги? Как копить деньги? Понятие «инфляция». В чем причины инфляции? Как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рассчитывается инфляция?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Индекс потребительских цен как способ измерения, инфляции. Как рассчитать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Pr="000F5FAB">
        <w:rPr>
          <w:rFonts w:ascii="Times New Roman" w:hAnsi="Times New Roman" w:cs="Times New Roman"/>
          <w:sz w:val="28"/>
          <w:szCs w:val="20"/>
        </w:rPr>
        <w:t>свою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»и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>нфляцию</w:t>
      </w:r>
      <w:proofErr w:type="spellEnd"/>
      <w:r w:rsidRPr="000F5FAB">
        <w:rPr>
          <w:rFonts w:ascii="Times New Roman" w:hAnsi="Times New Roman" w:cs="Times New Roman"/>
          <w:sz w:val="28"/>
          <w:szCs w:val="20"/>
        </w:rPr>
        <w:t>? Понятия «вкладчик», «банк», «банковский счет». Структура банковской системы. Понятие «Центральный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банк». Информация на сайте ЦБ и сайтах коммерческих банков. Рейтинги банков.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Что такое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«депозит» и какова его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природа. Понятия «депозитный договор», «процентная ставка». Преимущества и недостатки депозита. Какова роль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депозита в личном финансовом плане? С какого возраста можно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использовать депозит? Условия депозита. Что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содержится в договоре депозита? Как выбрать нужные условия депозита? Что такое валюта. Можно ли выиграть,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размещая сбережения в валюте? Потеря финансовых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документов: алгоритм действий. Финансовые риски. Чем мы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рискуем, используя банковские вклады.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Тема 5. Расчетно-кассовые операции.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b/>
          <w:bCs/>
          <w:sz w:val="28"/>
          <w:szCs w:val="20"/>
        </w:rPr>
        <w:t>Банковская карта</w:t>
      </w:r>
    </w:p>
    <w:p w:rsidR="004F4C8F" w:rsidRPr="000F5FAB" w:rsidRDefault="004F4C8F" w:rsidP="004F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sz w:val="28"/>
          <w:szCs w:val="20"/>
        </w:rPr>
        <w:t>Понятия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«электронные деньги», «банковская карта: дебетовые, кредитные, дебетовые с овердрафтом». Какие бывают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банковские карты? Как выбрать банковскую карту? Как пользоваться банкоматом? Как защитится от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мошенничества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при пользовании банкоматом? Как пользоваться банкоматом? Как защитится от мошенничества при пользовании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банкоматом?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Как сделать денежный перевод? От чего зависит комиссия за перевод?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>Мобильный банкинг. Онлайн-банкинг. Как защитится от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F5FAB">
        <w:rPr>
          <w:rFonts w:ascii="Times New Roman" w:hAnsi="Times New Roman" w:cs="Times New Roman"/>
          <w:sz w:val="28"/>
          <w:szCs w:val="20"/>
        </w:rPr>
        <w:t xml:space="preserve">мошенничества, используя </w:t>
      </w:r>
      <w:proofErr w:type="gramStart"/>
      <w:r w:rsidRPr="000F5FAB">
        <w:rPr>
          <w:rFonts w:ascii="Times New Roman" w:hAnsi="Times New Roman" w:cs="Times New Roman"/>
          <w:sz w:val="28"/>
          <w:szCs w:val="20"/>
        </w:rPr>
        <w:t>мобильный</w:t>
      </w:r>
      <w:proofErr w:type="gramEnd"/>
      <w:r w:rsidRPr="000F5FAB">
        <w:rPr>
          <w:rFonts w:ascii="Times New Roman" w:hAnsi="Times New Roman" w:cs="Times New Roman"/>
          <w:sz w:val="28"/>
          <w:szCs w:val="20"/>
        </w:rPr>
        <w:t xml:space="preserve"> и онлайн-банкинг?</w:t>
      </w:r>
    </w:p>
    <w:p w:rsidR="004F4C8F" w:rsidRDefault="004F4C8F" w:rsidP="004F4C8F">
      <w:pPr>
        <w:rPr>
          <w:rFonts w:ascii="Times New Roman" w:hAnsi="Times New Roman" w:cs="Times New Roman"/>
          <w:sz w:val="28"/>
          <w:szCs w:val="20"/>
        </w:rPr>
      </w:pPr>
      <w:r w:rsidRPr="000F5FAB">
        <w:rPr>
          <w:rFonts w:ascii="Times New Roman" w:hAnsi="Times New Roman" w:cs="Times New Roman"/>
          <w:b/>
          <w:bCs/>
          <w:sz w:val="28"/>
          <w:szCs w:val="20"/>
        </w:rPr>
        <w:t>Итоговое повторение и обобщение (2 часа)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4F4C8F" w:rsidRPr="000F5FAB" w:rsidRDefault="004F4C8F" w:rsidP="0036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BAE" w:rsidRPr="004F4C8F" w:rsidRDefault="00366CA8" w:rsidP="004F4C8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F4C8F">
        <w:rPr>
          <w:rFonts w:ascii="Times New Roman" w:hAnsi="Times New Roman"/>
          <w:b/>
          <w:sz w:val="28"/>
          <w:szCs w:val="28"/>
        </w:rPr>
        <w:t xml:space="preserve"> </w:t>
      </w:r>
      <w:r w:rsidR="00554BAE" w:rsidRPr="00554BAE">
        <w:rPr>
          <w:b/>
          <w:sz w:val="28"/>
          <w:szCs w:val="28"/>
        </w:rPr>
        <w:t>Тематическ</w:t>
      </w:r>
      <w:bookmarkStart w:id="0" w:name="_GoBack"/>
      <w:bookmarkEnd w:id="0"/>
      <w:r w:rsidR="00554BAE" w:rsidRPr="00554BAE">
        <w:rPr>
          <w:b/>
          <w:sz w:val="28"/>
          <w:szCs w:val="28"/>
        </w:rPr>
        <w:t>ое планирование.</w:t>
      </w:r>
    </w:p>
    <w:tbl>
      <w:tblPr>
        <w:tblStyle w:val="a7"/>
        <w:tblpPr w:leftFromText="180" w:rightFromText="180" w:vertAnchor="text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619"/>
        <w:gridCol w:w="5655"/>
        <w:gridCol w:w="1600"/>
        <w:gridCol w:w="1697"/>
      </w:tblGrid>
      <w:tr w:rsidR="00554BAE" w:rsidRPr="007C5FED" w:rsidTr="00554BAE">
        <w:tc>
          <w:tcPr>
            <w:tcW w:w="693" w:type="dxa"/>
          </w:tcPr>
          <w:p w:rsidR="00554BAE" w:rsidRPr="00D562ED" w:rsidRDefault="00554BAE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2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7" w:type="dxa"/>
          </w:tcPr>
          <w:p w:rsidR="00554BAE" w:rsidRPr="007C5FED" w:rsidRDefault="00554BAE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54" w:type="dxa"/>
            <w:gridSpan w:val="2"/>
          </w:tcPr>
          <w:p w:rsidR="00554BAE" w:rsidRPr="007C5FED" w:rsidRDefault="00554BAE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0157F" w:rsidRPr="007C5FED" w:rsidTr="00160BEF">
        <w:tc>
          <w:tcPr>
            <w:tcW w:w="8120" w:type="dxa"/>
            <w:gridSpan w:val="2"/>
          </w:tcPr>
          <w:p w:rsidR="0050157F" w:rsidRPr="007C5FED" w:rsidRDefault="004F4C8F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 (34 ЧАСА)</w:t>
            </w:r>
          </w:p>
        </w:tc>
        <w:tc>
          <w:tcPr>
            <w:tcW w:w="1877" w:type="dxa"/>
          </w:tcPr>
          <w:p w:rsidR="0050157F" w:rsidRDefault="0050157F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77" w:type="dxa"/>
          </w:tcPr>
          <w:p w:rsidR="0050157F" w:rsidRDefault="0050157F" w:rsidP="00554BA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 w:rsidRPr="00554BAE">
              <w:rPr>
                <w:bCs/>
                <w:sz w:val="28"/>
                <w:szCs w:val="28"/>
              </w:rPr>
              <w:t>Управление денежными средствами семьи.</w:t>
            </w:r>
          </w:p>
        </w:tc>
        <w:tc>
          <w:tcPr>
            <w:tcW w:w="1877" w:type="dxa"/>
          </w:tcPr>
          <w:p w:rsidR="0050157F" w:rsidRPr="00554BAE" w:rsidRDefault="007C50FE" w:rsidP="007C50F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50157F" w:rsidRPr="00554BAE" w:rsidRDefault="007C50FE" w:rsidP="00554BAE">
            <w:pPr>
              <w:pStyle w:val="a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BAE"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финансовые организации: как сотрудничать без проблем.</w:t>
            </w:r>
          </w:p>
        </w:tc>
        <w:tc>
          <w:tcPr>
            <w:tcW w:w="1877" w:type="dxa"/>
          </w:tcPr>
          <w:p w:rsidR="0050157F" w:rsidRPr="00554BAE" w:rsidRDefault="007C50FE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50157F" w:rsidRPr="00554BAE" w:rsidRDefault="007C50FE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0157F" w:rsidRPr="007C5FED" w:rsidTr="00160BEF">
        <w:tc>
          <w:tcPr>
            <w:tcW w:w="693" w:type="dxa"/>
          </w:tcPr>
          <w:p w:rsidR="0050157F" w:rsidRPr="00554BAE" w:rsidRDefault="0050157F" w:rsidP="00554BA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50157F" w:rsidRPr="00554BAE" w:rsidRDefault="0050157F" w:rsidP="00554BA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BAE">
              <w:rPr>
                <w:rFonts w:ascii="Times New Roman" w:hAnsi="Times New Roman"/>
                <w:bCs/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877" w:type="dxa"/>
          </w:tcPr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50157F" w:rsidRPr="00554BAE" w:rsidRDefault="0050157F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4C8F" w:rsidRPr="007C5FED" w:rsidTr="00160BEF">
        <w:tc>
          <w:tcPr>
            <w:tcW w:w="693" w:type="dxa"/>
          </w:tcPr>
          <w:p w:rsidR="004F4C8F" w:rsidRPr="00554BAE" w:rsidRDefault="004F4C8F" w:rsidP="00554BA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7" w:type="dxa"/>
          </w:tcPr>
          <w:p w:rsidR="004F4C8F" w:rsidRPr="00554BAE" w:rsidRDefault="004F4C8F" w:rsidP="00554B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50F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proofErr w:type="gramEnd"/>
            <w:r w:rsidR="007C50FE">
              <w:rPr>
                <w:rFonts w:ascii="Times New Roman" w:hAnsi="Times New Roman"/>
                <w:bCs/>
                <w:sz w:val="28"/>
                <w:szCs w:val="28"/>
              </w:rPr>
              <w:t xml:space="preserve"> 34 ЧАСА </w:t>
            </w:r>
          </w:p>
        </w:tc>
        <w:tc>
          <w:tcPr>
            <w:tcW w:w="1877" w:type="dxa"/>
          </w:tcPr>
          <w:p w:rsidR="004F4C8F" w:rsidRDefault="007C50FE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4F4C8F" w:rsidRDefault="007C50FE" w:rsidP="00554B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</w:tbl>
    <w:p w:rsidR="006135F6" w:rsidRDefault="006135F6" w:rsidP="007C50FE"/>
    <w:sectPr w:rsidR="006135F6" w:rsidSect="007C50FE">
      <w:footerReference w:type="default" r:id="rId8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C3" w:rsidRDefault="00D511C3" w:rsidP="00443EB0">
      <w:pPr>
        <w:spacing w:after="0" w:line="240" w:lineRule="auto"/>
      </w:pPr>
      <w:r>
        <w:separator/>
      </w:r>
    </w:p>
  </w:endnote>
  <w:endnote w:type="continuationSeparator" w:id="0">
    <w:p w:rsidR="00D511C3" w:rsidRDefault="00D511C3" w:rsidP="004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87858"/>
      <w:docPartObj>
        <w:docPartGallery w:val="Page Numbers (Bottom of Page)"/>
        <w:docPartUnique/>
      </w:docPartObj>
    </w:sdtPr>
    <w:sdtEndPr/>
    <w:sdtContent>
      <w:p w:rsidR="00FF6F72" w:rsidRDefault="00064111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5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F72" w:rsidRDefault="00FF6F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C3" w:rsidRDefault="00D511C3" w:rsidP="00443EB0">
      <w:pPr>
        <w:spacing w:after="0" w:line="240" w:lineRule="auto"/>
      </w:pPr>
      <w:r>
        <w:separator/>
      </w:r>
    </w:p>
  </w:footnote>
  <w:footnote w:type="continuationSeparator" w:id="0">
    <w:p w:rsidR="00D511C3" w:rsidRDefault="00D511C3" w:rsidP="0044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E82"/>
    <w:multiLevelType w:val="hybridMultilevel"/>
    <w:tmpl w:val="701C5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CE6"/>
    <w:multiLevelType w:val="hybridMultilevel"/>
    <w:tmpl w:val="4C5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4EC2"/>
    <w:multiLevelType w:val="hybridMultilevel"/>
    <w:tmpl w:val="694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B0"/>
    <w:rsid w:val="00012B92"/>
    <w:rsid w:val="00043797"/>
    <w:rsid w:val="00064111"/>
    <w:rsid w:val="000F5FAB"/>
    <w:rsid w:val="00160BEF"/>
    <w:rsid w:val="00255375"/>
    <w:rsid w:val="00261D85"/>
    <w:rsid w:val="00344B94"/>
    <w:rsid w:val="00366CA8"/>
    <w:rsid w:val="0038671B"/>
    <w:rsid w:val="003F5234"/>
    <w:rsid w:val="00400F50"/>
    <w:rsid w:val="00443EB0"/>
    <w:rsid w:val="004B7B81"/>
    <w:rsid w:val="004F4C8F"/>
    <w:rsid w:val="0050157F"/>
    <w:rsid w:val="00554BAE"/>
    <w:rsid w:val="006135F6"/>
    <w:rsid w:val="00630654"/>
    <w:rsid w:val="00635C2E"/>
    <w:rsid w:val="00707136"/>
    <w:rsid w:val="007A771D"/>
    <w:rsid w:val="007C50FE"/>
    <w:rsid w:val="00822981"/>
    <w:rsid w:val="008D2DB0"/>
    <w:rsid w:val="009E77E3"/>
    <w:rsid w:val="00AC456D"/>
    <w:rsid w:val="00CB2073"/>
    <w:rsid w:val="00D257E8"/>
    <w:rsid w:val="00D511C3"/>
    <w:rsid w:val="00E6599D"/>
    <w:rsid w:val="00F250BC"/>
    <w:rsid w:val="00F76591"/>
    <w:rsid w:val="00FA5598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B0"/>
  </w:style>
  <w:style w:type="paragraph" w:styleId="a5">
    <w:name w:val="footer"/>
    <w:basedOn w:val="a"/>
    <w:link w:val="a6"/>
    <w:uiPriority w:val="99"/>
    <w:unhideWhenUsed/>
    <w:rsid w:val="0044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B0"/>
  </w:style>
  <w:style w:type="table" w:styleId="a7">
    <w:name w:val="Table Grid"/>
    <w:basedOn w:val="a1"/>
    <w:rsid w:val="0044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54BA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554BAE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54BA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6CA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6CA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7"/>
    <w:rsid w:val="007A7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 Владимировн</dc:creator>
  <cp:lastModifiedBy>Ирина</cp:lastModifiedBy>
  <cp:revision>8</cp:revision>
  <cp:lastPrinted>2021-03-08T18:46:00Z</cp:lastPrinted>
  <dcterms:created xsi:type="dcterms:W3CDTF">2019-10-28T10:45:00Z</dcterms:created>
  <dcterms:modified xsi:type="dcterms:W3CDTF">2021-03-08T18:47:00Z</dcterms:modified>
</cp:coreProperties>
</file>